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Module 8.9 - Sessions, Objectives, and Video Links</w:t>
      </w:r>
    </w:p>
    <w:p>
      <w:pPr>
        <w:pStyle w:val="Heading2"/>
      </w:pPr>
      <w:r>
        <w:t>Plexus injuries - nerve transfers and orthopaedic management</w:t>
      </w:r>
    </w:p>
    <w:p>
      <w:pPr>
        <w:pStyle w:val="Heading3"/>
      </w:pPr>
      <w:r>
        <w:t>Objectives:</w:t>
      </w:r>
    </w:p>
    <w:p>
      <w:pPr>
        <w:pStyle w:val="ListBullet"/>
      </w:pPr>
      <w:r>
        <w:t xml:space="preserve">To understand the core concepts of surgical management of the brachial plexus patient. </w:t>
      </w:r>
    </w:p>
    <w:p>
      <w:pPr>
        <w:pStyle w:val="Heading3"/>
      </w:pPr>
      <w:r>
        <w:t>Links:</w:t>
      </w:r>
    </w:p>
    <w:p>
      <w:pPr>
        <w:pStyle w:val="ListBullet"/>
      </w:pPr>
      <w:r>
        <w:br/>
        <w:br/>
        <w:t>https://www.youtube.com/watch?v=rTWLtNcmNII&amp;t=1s - management of brachial plexus - D Power Pulvertaft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