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7.1 - Sessions, Objectives, and Video Links</w:t>
      </w:r>
    </w:p>
    <w:p>
      <w:pPr/>
      <w:r>
        <w:t>The acutely burned hand</w:t>
      </w:r>
    </w:p>
    <w:p>
      <w:pPr/>
      <w:r>
        <w:t>Objectives:</w:t>
      </w:r>
    </w:p>
    <w:p>
      <w:pPr>
        <w:pStyle w:val="ListBullet"/>
      </w:pPr>
      <w:r>
        <w:t>Understanding the principles of assessment and management of burn injuries  in the acute phase</w:t>
      </w:r>
    </w:p>
    <w:p>
      <w:pPr>
        <w:pStyle w:val="ListBullet"/>
      </w:pPr>
      <w:r>
        <w:t>Understanding the anatomical characteristics of the hand in relation to burn injuries</w:t>
      </w:r>
    </w:p>
    <w:p>
      <w:pPr>
        <w:pStyle w:val="ListBullet"/>
      </w:pPr>
      <w:r>
        <w:t>Understanding the intended functional and aesthetic outcomes following burn injuries to the hand</w:t>
      </w:r>
    </w:p>
    <w:p>
      <w:pPr>
        <w:pStyle w:val="ListBullet"/>
      </w:pPr>
      <w:r>
        <w:t>Understanding the role of MDT in management of patients with burns to the hand</w:t>
      </w:r>
    </w:p>
    <w:p>
      <w:pPr/>
      <w:r>
        <w:t>Links:</w:t>
      </w:r>
    </w:p>
    <w:p>
      <w:pPr>
        <w:pStyle w:val="ListBullet"/>
      </w:pPr>
      <w:r>
        <w:rPr>
          <w:b/>
        </w:rPr>
        <w:t>BFIRST/BSSH Overseas Webinar - Burn injuries of the hand</w:t>
        <w:br/>
      </w:r>
      <w:r>
        <w:t>https://www.youtube.com/watch?v=dod0b3_sgb8</w:t>
      </w:r>
    </w:p>
    <w:p>
      <w:pPr>
        <w:pStyle w:val="ListBullet"/>
      </w:pPr>
      <w:r>
        <w:rPr>
          <w:b/>
        </w:rPr>
        <w:t xml:space="preserve">Management of hand and upper limb burns by Mr Nagib El Muttardi </w:t>
        <w:br/>
      </w:r>
      <w:r>
        <w:t>https://www.youtube.com/watch?v=mdh0jmRKmkQ</w:t>
      </w:r>
    </w:p>
    <w:p>
      <w:pPr/>
      <w:r>
        <w:br/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_7.1_q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